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600"/>
        <w:jc w:val="center"/>
      </w:pPr>
      <w:r>
        <w:rPr>
          <w:rFonts w:ascii="Arial" w:cs="Arial" w:eastAsia="Arial" w:hAnsi="Arial"/>
          <w:b/>
          <w:bCs/>
          <w:color w:val="008080"/>
          <w:sz w:val="52"/>
          <w:szCs w:val="52"/>
        </w:rPr>
        <w:t xml:space="preserve">SMHL Setting Audit</w:t>
      </w:r>
    </w:p>
    <w:p>
      <w:pPr>
        <w:spacing w:after="160" w:before="0"/>
        <w:jc w:val="center"/>
      </w:pPr>
      <w:r>
        <w:rPr>
          <w:rFonts w:ascii="Arial" w:cs="Arial" w:eastAsia="Arial" w:hAnsi="Arial"/>
          <w:color w:val="666666"/>
          <w:sz w:val="36"/>
          <w:szCs w:val="36"/>
        </w:rPr>
        <w:t xml:space="preserve">Fictional School Profile</w:t>
      </w:r>
    </w:p>
    <w:p>
      <w:pPr>
        <w:spacing w:after="160" w:before="80"/>
        <w:jc w:val="center"/>
      </w:pPr>
      <w:r>
        <w:rPr>
          <w:rFonts w:ascii="Arial" w:cs="Arial" w:eastAsia="Arial" w:hAnsi="Arial"/>
          <w:b/>
          <w:bCs/>
          <w:color w:val="333333"/>
          <w:sz w:val="40"/>
          <w:szCs w:val="40"/>
        </w:rPr>
        <w:t xml:space="preserve">Birchwood School</w:t>
      </w:r>
    </w:p>
    <w:p>
      <w:pPr>
        <w:spacing w:after="80" w:before="0"/>
        <w:jc w:val="center"/>
      </w:pPr>
      <w:r>
        <w:rPr>
          <w:rFonts w:ascii="Arial" w:cs="Arial" w:eastAsia="Arial" w:hAnsi="Arial"/>
          <w:color w:val="666666"/>
          <w:sz w:val="26"/>
          <w:szCs w:val="26"/>
        </w:rPr>
        <w:t xml:space="preserve">Fictional Special School Profile</w:t>
      </w:r>
    </w:p>
    <w:p>
      <w:pPr>
        <w:spacing w:after="800" w:before="0"/>
      </w:pPr>
      <w:r>
        <w:t xml:space="preserve"/>
      </w:r>
    </w:p>
    <w:p>
      <w:pPr>
        <w:spacing w:after="80" w:before="0"/>
        <w:jc w:val="center"/>
      </w:pPr>
      <w:r>
        <w:rPr>
          <w:rFonts w:ascii="Arial" w:cs="Arial" w:eastAsia="Arial" w:hAnsi="Arial"/>
          <w:color w:val="666666"/>
          <w:sz w:val="22"/>
          <w:szCs w:val="22"/>
        </w:rPr>
        <w:t xml:space="preserve">Creative Education</w:t>
      </w:r>
    </w:p>
    <w:p>
      <w:r>
        <w:br w:type="page"/>
      </w:r>
    </w:p>
    <w:p>
      <w:pPr>
        <w:pStyle w:val="Heading1"/>
        <w:pBdr>
          <w:bottom w:val="single" w:color="008080" w:sz="6" w:space="6"/>
        </w:pBdr>
        <w:spacing w:after="160" w:before="400"/>
      </w:pPr>
      <w:r>
        <w:rPr>
          <w:rFonts w:ascii="Arial" w:cs="Arial" w:eastAsia="Arial" w:hAnsi="Arial"/>
          <w:b/>
          <w:bCs/>
          <w:color w:val="008080"/>
          <w:sz w:val="32"/>
          <w:szCs w:val="32"/>
        </w:rPr>
        <w:t xml:space="preserve">How to Use This Document</w:t>
      </w:r>
    </w:p>
    <w:p>
      <w:pPr>
        <w:spacing w:after="100" w:before="80"/>
      </w:pPr>
      <w:r>
        <w:rPr>
          <w:rFonts w:ascii="Arial" w:cs="Arial" w:eastAsia="Arial" w:hAnsi="Arial"/>
          <w:color w:val="333333"/>
          <w:sz w:val="22"/>
          <w:szCs w:val="22"/>
        </w:rPr>
        <w:t xml:space="preserve">This document gives you a profile of a fictional special school. Read through the whole profile before you begin the Setting Audit, and refer back to specific sections as needed. Your task is to use this information to complete the Setting Audit in your Core Workbook as if you were the Senior Mental Health Lead at Birchwood School.
Note: Special schools present a distinct context for the Setting Audit. Some statements will apply directly, while others may need to be interpreted thoughtfully in light of the specific needs of the pupils. Use your professional judgement and make a note in the Notes column when you have had to adapt your thinking.</w:t>
      </w:r>
    </w:p>
    <w:p>
      <w:pPr>
        <w:spacing w:after="8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08080" w:sz="4"/>
              <w:left w:val="single" w:color="008080" w:sz="4"/>
              <w:bottom w:val="single" w:color="008080" w:sz="4"/>
              <w:right w:val="single" w:color="008080" w:sz="4"/>
            </w:tcBorders>
            <w:shd w:fill="E0F2F1" w:val="clear"/>
            <w:tcMar>
              <w:top w:type="dxa" w:w="160"/>
              <w:left w:type="dxa" w:w="240"/>
              <w:bottom w:type="dxa" w:w="160"/>
              <w:right w:type="dxa" w:w="240"/>
            </w:tcMar>
          </w:tcPr>
          <w:p>
            <w:pPr>
              <w:spacing w:after="60" w:before="0"/>
            </w:pPr>
            <w:r>
              <w:rPr>
                <w:rFonts w:ascii="Arial" w:cs="Arial" w:eastAsia="Arial" w:hAnsi="Arial"/>
                <w:color w:val="333333"/>
                <w:sz w:val="22"/>
                <w:szCs w:val="22"/>
              </w:rPr>
              <w:t xml:space="preserve">This school is fictional. All names, data, and details have been created for learning purposes only.</w:t>
            </w:r>
          </w:p>
          <w:p>
            <w:pPr>
              <w:spacing w:after="60" w:before="60"/>
            </w:pPr>
            <w:r>
              <w:rPr>
                <w:rFonts w:ascii="Arial" w:cs="Arial" w:eastAsia="Arial" w:hAnsi="Arial"/>
                <w:color w:val="333333"/>
                <w:sz w:val="22"/>
                <w:szCs w:val="22"/>
              </w:rPr>
              <w:t xml:space="preserve">Use the information in this profile to work through the Setting Audit in your Core Workbook. Consider each statement carefully in the context of this school — some answers will be clear from the profile, and others will require you to use your professional judgement based on what is and is not mentioned.</w:t>
            </w:r>
          </w:p>
          <w:p>
            <w:pPr>
              <w:spacing w:after="60" w:before="60"/>
            </w:pPr>
            <w:r>
              <w:rPr>
                <w:rFonts w:ascii="Arial" w:cs="Arial" w:eastAsia="Arial" w:hAnsi="Arial"/>
                <w:color w:val="333333"/>
                <w:sz w:val="22"/>
                <w:szCs w:val="22"/>
              </w:rPr>
              <w:t xml:space="preserve">There are no trick questions, but not everything will be straightforward. That is intentional.</w:t>
            </w:r>
          </w:p>
        </w:tc>
      </w:tr>
    </w:tbl>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School 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008080" w:sz="4"/>
              <w:left w:val="single" w:color="008080" w:sz="4"/>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School name</w:t>
            </w:r>
          </w:p>
        </w:tc>
        <w:tc>
          <w:tcPr>
            <w:tcW w:type="dxa" w:w="6226"/>
            <w:tcBorders>
              <w:top w:val="single" w:color="008080" w:sz="4"/>
              <w:left w:val="single" w:color="AAAAAA" w:sz="2"/>
              <w:bottom w:val="single" w:color="AAAAAA" w:sz="2"/>
              <w:right w:val="single" w:color="008080" w:sz="4"/>
            </w:tcBorders>
            <w:shd w:fill="FFFFFF" w:val="clear"/>
            <w:tcMar>
              <w:top w:type="dxa" w:w="80"/>
              <w:left w:type="dxa" w:w="160"/>
              <w:bottom w:type="dxa" w:w="80"/>
              <w:right w:type="dxa" w:w="160"/>
            </w:tcMar>
          </w:tcPr>
          <w:p>
            <w:r>
              <w:rPr>
                <w:rFonts w:ascii="Arial" w:cs="Arial" w:eastAsia="Arial" w:hAnsi="Arial"/>
                <w:color w:val="333333"/>
                <w:sz w:val="22"/>
                <w:szCs w:val="22"/>
              </w:rPr>
              <w:t xml:space="preserve">Birchwood School</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Location</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A city in the West Midlands</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Type</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LA-maintained special school</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Age range</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4–19</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Number on roll</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187 pupils</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Primary need</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Social, emotional and mental health (SEMH) — all pupils have an EHCP</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Staff</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38 teaching staff, 62 support staff (high ratio of TAs and specialist support workers), 8 administrative and site staff</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Ofsted rating</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Good (last inspected two years ago)</w:t>
            </w:r>
          </w:p>
        </w:tc>
      </w:tr>
      <w:tr>
        <w:tc>
          <w:tcPr>
            <w:tcW w:type="dxa" w:w="2800"/>
            <w:tcBorders>
              <w:top w:val="single" w:color="AAAAAA" w:sz="2"/>
              <w:left w:val="single" w:color="AAAAAA" w:sz="2"/>
              <w:bottom w:val="single" w:color="AAAAAA" w:sz="2"/>
              <w:right w:val="single" w:color="AAAAAA" w:sz="2"/>
            </w:tcBorders>
            <w:shd w:fill="E8F4F4" w:val="clear"/>
            <w:tcMar>
              <w:top w:type="dxa" w:w="80"/>
              <w:left w:type="dxa" w:w="160"/>
              <w:bottom w:type="dxa" w:w="80"/>
              <w:right w:type="dxa" w:w="160"/>
            </w:tcMar>
          </w:tcPr>
          <w:p>
            <w:r>
              <w:rPr>
                <w:rFonts w:ascii="Arial" w:cs="Arial" w:eastAsia="Arial" w:hAnsi="Arial"/>
                <w:b/>
                <w:bCs/>
                <w:color w:val="008080"/>
                <w:sz w:val="22"/>
                <w:szCs w:val="22"/>
              </w:rPr>
              <w:t xml:space="preserve">FSM eligibility</w:t>
            </w:r>
          </w:p>
        </w:tc>
        <w:tc>
          <w:tcPr>
            <w:tcW w:type="dxa" w:w="6226"/>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color w:val="333333"/>
                <w:sz w:val="22"/>
                <w:szCs w:val="22"/>
              </w:rPr>
              <w:t xml:space="preserve">51% of pupils eligible for free school meals</w:t>
            </w:r>
          </w:p>
        </w:tc>
      </w:tr>
      <w:tr>
        <w:tc>
          <w:tcPr>
            <w:tcW w:type="dxa" w:w="2800"/>
            <w:tcBorders>
              <w:top w:val="single" w:color="AAAAAA" w:sz="2"/>
              <w:left w:val="single" w:color="AAAAAA" w:sz="2"/>
              <w:bottom w:val="single" w:color="AAAAAA" w:sz="2"/>
              <w:right w:val="single" w:color="AAAAAA" w:sz="2"/>
            </w:tcBorders>
            <w:shd w:fill="FFFFFF" w:val="clear"/>
            <w:tcMar>
              <w:top w:type="dxa" w:w="80"/>
              <w:left w:type="dxa" w:w="160"/>
              <w:bottom w:type="dxa" w:w="80"/>
              <w:right w:type="dxa" w:w="160"/>
            </w:tcMar>
          </w:tcPr>
          <w:p>
            <w:r>
              <w:rPr>
                <w:rFonts w:ascii="Arial" w:cs="Arial" w:eastAsia="Arial" w:hAnsi="Arial"/>
                <w:b/>
                <w:bCs/>
                <w:color w:val="008080"/>
                <w:sz w:val="22"/>
                <w:szCs w:val="22"/>
              </w:rPr>
              <w:t xml:space="preserve">SEND</w:t>
            </w:r>
          </w:p>
        </w:tc>
        <w:tc>
          <w:tcPr>
            <w:tcW w:type="dxa" w:w="6226"/>
            <w:tcBorders>
              <w:top w:val="single" w:color="AAAAAA" w:sz="2"/>
              <w:left w:val="single" w:color="AAAAAA" w:sz="2"/>
              <w:bottom w:val="single" w:color="AAAAAA" w:sz="2"/>
              <w:right w:val="single" w:color="AAAAAA" w:sz="2"/>
            </w:tcBorders>
            <w:shd w:fill="F5F5F5" w:val="clear"/>
            <w:tcMar>
              <w:top w:type="dxa" w:w="80"/>
              <w:left w:type="dxa" w:w="160"/>
              <w:bottom w:type="dxa" w:w="80"/>
              <w:right w:type="dxa" w:w="160"/>
            </w:tcMar>
          </w:tcPr>
          <w:p>
            <w:r>
              <w:rPr>
                <w:rFonts w:ascii="Arial" w:cs="Arial" w:eastAsia="Arial" w:hAnsi="Arial"/>
                <w:color w:val="333333"/>
                <w:sz w:val="22"/>
                <w:szCs w:val="22"/>
              </w:rPr>
              <w:t xml:space="preserve">100% of pupils have an EHCP; primary need is SEMH for the majority, with a significant number having co-occurring diagnoses including ADHD, autism, attachment difficulties, and trauma histories</w:t>
            </w:r>
          </w:p>
        </w:tc>
      </w:tr>
    </w:tbl>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Leadership and Management</w:t>
      </w:r>
    </w:p>
    <w:p>
      <w:pPr>
        <w:spacing w:after="100" w:before="80"/>
      </w:pPr>
      <w:r>
        <w:rPr>
          <w:rFonts w:ascii="Arial" w:cs="Arial" w:eastAsia="Arial" w:hAnsi="Arial"/>
          <w:color w:val="333333"/>
          <w:sz w:val="22"/>
          <w:szCs w:val="22"/>
        </w:rPr>
        <w:t xml:space="preserve">Birchwood is led by an experienced Headteacher, Ms Griffiths, who has been in post for seven years. She is a recognised specialist in SEMH and contributes to local authority strategic groups on mental health in education. The school has a Deputy Head who leads on curriculum and a Head of Care who oversees the therapeutic and pastoral aspects of the school's provision.</w:t>
      </w:r>
    </w:p>
    <w:p>
      <w:pPr>
        <w:spacing w:after="100" w:before="80"/>
      </w:pPr>
      <w:r>
        <w:rPr>
          <w:rFonts w:ascii="Arial" w:cs="Arial" w:eastAsia="Arial" w:hAnsi="Arial"/>
          <w:color w:val="333333"/>
          <w:sz w:val="22"/>
          <w:szCs w:val="22"/>
        </w:rPr>
        <w:t xml:space="preserve">The governing body has nine members, three of whom have professional backgrounds in health or social care. There is a designated governor for SEMH and mental health who attends termly meetings with the SMHL and the Head of Care. Governors have received training on mental health within the last twelve months, delivered by an external specialist.</w:t>
      </w:r>
    </w:p>
    <w:p>
      <w:pPr>
        <w:spacing w:after="100" w:before="80"/>
      </w:pPr>
      <w:r>
        <w:rPr>
          <w:rFonts w:ascii="Arial" w:cs="Arial" w:eastAsia="Arial" w:hAnsi="Arial"/>
          <w:color w:val="333333"/>
          <w:sz w:val="22"/>
          <w:szCs w:val="22"/>
        </w:rPr>
        <w:t xml:space="preserve">The school has a well-developed mental health and wellbeing policy that is reviewed annually. A mental health action plan is in place and is shared with staff, governors, and reviewed termly. The action plan is integrated into the school development plan.</w:t>
      </w:r>
    </w:p>
    <w:p>
      <w:pPr>
        <w:spacing w:after="100" w:before="80"/>
      </w:pPr>
      <w:r>
        <w:rPr>
          <w:rFonts w:ascii="Arial" w:cs="Arial" w:eastAsia="Arial" w:hAnsi="Arial"/>
          <w:color w:val="333333"/>
          <w:sz w:val="22"/>
          <w:szCs w:val="22"/>
        </w:rPr>
        <w:t xml:space="preserve">Senior leaders model open conversations about mental health and the school has a strong culture of psychological safety among staff — this has been consistently noted in staff survey results. The Headteacher has introduced monthly 'wellbeing check-ins' for all line managers to have with their direct reports.</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Identifying Need and Monitoring Impact</w:t>
      </w:r>
    </w:p>
    <w:p>
      <w:pPr>
        <w:spacing w:after="100" w:before="80"/>
      </w:pPr>
      <w:r>
        <w:rPr>
          <w:rFonts w:ascii="Arial" w:cs="Arial" w:eastAsia="Arial" w:hAnsi="Arial"/>
          <w:color w:val="333333"/>
          <w:sz w:val="22"/>
          <w:szCs w:val="22"/>
        </w:rPr>
        <w:t xml:space="preserve">Given the specialist nature of the school, identifying need is an embedded part of daily practice. All pupils have EHCPs with detailed profiles of their mental health and emotional needs. These are reviewed annually, with interim reviews called when a pupil's needs change significantly.</w:t>
      </w:r>
    </w:p>
    <w:p>
      <w:pPr>
        <w:spacing w:after="100" w:before="80"/>
      </w:pPr>
      <w:r>
        <w:rPr>
          <w:rFonts w:ascii="Arial" w:cs="Arial" w:eastAsia="Arial" w:hAnsi="Arial"/>
          <w:color w:val="333333"/>
          <w:sz w:val="22"/>
          <w:szCs w:val="22"/>
        </w:rPr>
        <w:t xml:space="preserve">The school uses a bespoke internal tracking system that allows staff to log daily observations about pupils' emotional regulation, engagement, and any significant incidents. This data is reviewed weekly by the Head of Care and discussed in pupil progress meetings each half term.</w:t>
      </w:r>
    </w:p>
    <w:p>
      <w:pPr>
        <w:spacing w:after="100" w:before="80"/>
      </w:pPr>
      <w:r>
        <w:rPr>
          <w:rFonts w:ascii="Arial" w:cs="Arial" w:eastAsia="Arial" w:hAnsi="Arial"/>
          <w:color w:val="333333"/>
          <w:sz w:val="22"/>
          <w:szCs w:val="22"/>
        </w:rPr>
        <w:t xml:space="preserve">The school has developed its own pupil wellbeing measure, adapted from a validated tool, which is completed each term with appropriate adaptations for pupils' communication needs. Results are used to identify individual and cohort-level trends and to review the impact of therapeutic interventions.</w:t>
      </w:r>
    </w:p>
    <w:p>
      <w:pPr>
        <w:spacing w:after="100" w:before="80"/>
      </w:pPr>
      <w:r>
        <w:rPr>
          <w:rFonts w:ascii="Arial" w:cs="Arial" w:eastAsia="Arial" w:hAnsi="Arial"/>
          <w:color w:val="333333"/>
          <w:sz w:val="22"/>
          <w:szCs w:val="22"/>
        </w:rPr>
        <w:t xml:space="preserve">Staff wellbeing surveys are carried out twice a year. The most recent survey indicated that staff feel well supported by leadership but that workload — particularly around EHCP review paperwork — remains a concern.</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Targeted Support and Appropriate Referrals</w:t>
      </w:r>
    </w:p>
    <w:p>
      <w:pPr>
        <w:spacing w:after="100" w:before="80"/>
      </w:pPr>
      <w:r>
        <w:rPr>
          <w:rFonts w:ascii="Arial" w:cs="Arial" w:eastAsia="Arial" w:hAnsi="Arial"/>
          <w:color w:val="333333"/>
          <w:sz w:val="22"/>
          <w:szCs w:val="22"/>
        </w:rPr>
        <w:t xml:space="preserve">Birchwood has an integrated therapeutic team on site, including a full-time art therapist, a part-time clinical psychologist (two days per week), a speech and language therapist (three days per week), and a family support worker. This provision sits at the heart of the school's offer.</w:t>
      </w:r>
    </w:p>
    <w:p>
      <w:pPr>
        <w:spacing w:after="100" w:before="80"/>
      </w:pPr>
      <w:r>
        <w:rPr>
          <w:rFonts w:ascii="Arial" w:cs="Arial" w:eastAsia="Arial" w:hAnsi="Arial"/>
          <w:color w:val="333333"/>
          <w:sz w:val="22"/>
          <w:szCs w:val="22"/>
        </w:rPr>
        <w:t xml:space="preserve">Referrals within school are managed through a structured multi-disciplinary team (MDT) meeting that takes place fortnightly. All pupils are discussed at least once per term, and any concerns about a change in presentation are brought to the MDT promptly. There is a clear written process for this.</w:t>
      </w:r>
    </w:p>
    <w:p>
      <w:pPr>
        <w:spacing w:after="100" w:before="80"/>
      </w:pPr>
      <w:r>
        <w:rPr>
          <w:rFonts w:ascii="Arial" w:cs="Arial" w:eastAsia="Arial" w:hAnsi="Arial"/>
          <w:color w:val="333333"/>
          <w:sz w:val="22"/>
          <w:szCs w:val="22"/>
        </w:rPr>
        <w:t xml:space="preserve">External referrals are made through the EHCP review process and through direct liaison with CAMHS, to whom the school has a named link. Given the complexity of pupils' needs, many are already known to CAMHS or other specialist services. The family support worker plays a key role in supporting families to navigate referral pathways.</w:t>
      </w:r>
    </w:p>
    <w:p>
      <w:pPr>
        <w:spacing w:after="100" w:before="80"/>
      </w:pPr>
      <w:r>
        <w:rPr>
          <w:rFonts w:ascii="Arial" w:cs="Arial" w:eastAsia="Arial" w:hAnsi="Arial"/>
          <w:color w:val="333333"/>
          <w:sz w:val="22"/>
          <w:szCs w:val="22"/>
        </w:rPr>
        <w:t xml:space="preserve">Staff across the school have a good understanding of when and how to seek additional support, though newly appointed staff sometimes find the complexity of the system challenging to navigate in the first few months. A staff induction programme includes a session on referral pathways.</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Staff Development</w:t>
      </w:r>
    </w:p>
    <w:p>
      <w:pPr>
        <w:spacing w:after="100" w:before="80"/>
      </w:pPr>
      <w:r>
        <w:rPr>
          <w:rFonts w:ascii="Arial" w:cs="Arial" w:eastAsia="Arial" w:hAnsi="Arial"/>
          <w:color w:val="333333"/>
          <w:sz w:val="22"/>
          <w:szCs w:val="22"/>
        </w:rPr>
        <w:t xml:space="preserve">Given the school's specialism, mental health training is woven into the fabric of professional development. All staff — including support staff — complete a structured induction programme which includes training in trauma-informed approaches, de-escalation, attachment theory, and safeguarding.</w:t>
      </w:r>
    </w:p>
    <w:p>
      <w:pPr>
        <w:spacing w:after="100" w:before="80"/>
      </w:pPr>
      <w:r>
        <w:rPr>
          <w:rFonts w:ascii="Arial" w:cs="Arial" w:eastAsia="Arial" w:hAnsi="Arial"/>
          <w:color w:val="333333"/>
          <w:sz w:val="22"/>
          <w:szCs w:val="22"/>
        </w:rPr>
        <w:t xml:space="preserve">There are six qualified Mental Health First Aiders across the school. All teaching staff and most support staff have completed at least basic mental health awareness training. Refresher training is provided every two years.</w:t>
      </w:r>
    </w:p>
    <w:p>
      <w:pPr>
        <w:spacing w:after="100" w:before="80"/>
      </w:pPr>
      <w:r>
        <w:rPr>
          <w:rFonts w:ascii="Arial" w:cs="Arial" w:eastAsia="Arial" w:hAnsi="Arial"/>
          <w:color w:val="333333"/>
          <w:sz w:val="22"/>
          <w:szCs w:val="22"/>
        </w:rPr>
        <w:t xml:space="preserve">The school runs a fortnightly staff wellbeing group led by the Deputy Head, which is voluntary but well attended. The EAP is actively promoted and the school has negotiated an enhanced package that includes access to counselling sessions for all staff. Take-up has increased significantly over the past year.</w:t>
      </w:r>
    </w:p>
    <w:p>
      <w:pPr>
        <w:spacing w:after="100" w:before="80"/>
      </w:pPr>
      <w:r>
        <w:rPr>
          <w:rFonts w:ascii="Arial" w:cs="Arial" w:eastAsia="Arial" w:hAnsi="Arial"/>
          <w:color w:val="333333"/>
          <w:sz w:val="22"/>
          <w:szCs w:val="22"/>
        </w:rPr>
        <w:t xml:space="preserve">Reasonable adjustments for staff with mental health needs are handled through a clear HR process. Three members of staff are currently working under agreed adjustments. There is no stigma attached to requesting support — this has been directly attributed to the leadership culture.</w:t>
      </w:r>
    </w:p>
    <w:p>
      <w:pPr>
        <w:spacing w:after="100" w:before="80"/>
      </w:pPr>
      <w:r>
        <w:rPr>
          <w:rFonts w:ascii="Arial" w:cs="Arial" w:eastAsia="Arial" w:hAnsi="Arial"/>
          <w:color w:val="333333"/>
          <w:sz w:val="22"/>
          <w:szCs w:val="22"/>
        </w:rPr>
        <w:t xml:space="preserve">Supervision is offered to all staff who work directly with pupils, provided by the clinical psychologist. This is a valued and well-attended provision. Waiting times for a supervision slot are currently around three weeks.</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Creating an Ethos and Environment</w:t>
      </w:r>
    </w:p>
    <w:p>
      <w:pPr>
        <w:spacing w:after="100" w:before="80"/>
      </w:pPr>
      <w:r>
        <w:rPr>
          <w:rFonts w:ascii="Arial" w:cs="Arial" w:eastAsia="Arial" w:hAnsi="Arial"/>
          <w:color w:val="333333"/>
          <w:sz w:val="22"/>
          <w:szCs w:val="22"/>
        </w:rPr>
        <w:t xml:space="preserve">Birchwood's physical environment has been carefully designed to support emotional regulation. There are dedicated sensory spaces, a quiet room, an outdoor learning area, and a therapeutic garden. Classrooms are small, with a maximum of eight pupils, and each has a designated regulation space within it.</w:t>
      </w:r>
    </w:p>
    <w:p>
      <w:pPr>
        <w:spacing w:after="100" w:before="80"/>
      </w:pPr>
      <w:r>
        <w:rPr>
          <w:rFonts w:ascii="Arial" w:cs="Arial" w:eastAsia="Arial" w:hAnsi="Arial"/>
          <w:color w:val="333333"/>
          <w:sz w:val="22"/>
          <w:szCs w:val="22"/>
        </w:rPr>
        <w:t xml:space="preserve">The school's behaviour approach is rooted in relational and trauma-informed practice. There is no traditional sanctions-based behaviour policy — instead, the school uses co-regulation, restorative conversations, and individually tailored behaviour support plans. All staff are trained in this approach.</w:t>
      </w:r>
    </w:p>
    <w:p>
      <w:pPr>
        <w:spacing w:after="100" w:before="80"/>
      </w:pPr>
      <w:r>
        <w:rPr>
          <w:rFonts w:ascii="Arial" w:cs="Arial" w:eastAsia="Arial" w:hAnsi="Arial"/>
          <w:color w:val="333333"/>
          <w:sz w:val="22"/>
          <w:szCs w:val="22"/>
        </w:rPr>
        <w:t xml:space="preserve">Mental health is not a display theme or an awareness week topic at Birchwood — it is the context in which everything happens. The school's values (Safety, Belonging, Learning, Becoming) are embedded in all aspects of school life and are explicitly linked to mental health and emotional wellbeing language.</w:t>
      </w:r>
    </w:p>
    <w:p>
      <w:pPr>
        <w:spacing w:after="100" w:before="80"/>
      </w:pPr>
      <w:r>
        <w:rPr>
          <w:rFonts w:ascii="Arial" w:cs="Arial" w:eastAsia="Arial" w:hAnsi="Arial"/>
          <w:color w:val="333333"/>
          <w:sz w:val="22"/>
          <w:szCs w:val="22"/>
        </w:rPr>
        <w:t xml:space="preserve">Some newer staff and external visitors occasionally note that the school's approach can feel unfamiliar compared to mainstream settings. The school has developed a brief guide for visitors and supply staff explaining the ethos and expectations.</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Enabling the Student Voice</w:t>
      </w:r>
    </w:p>
    <w:p>
      <w:pPr>
        <w:spacing w:after="100" w:before="80"/>
      </w:pPr>
      <w:r>
        <w:rPr>
          <w:rFonts w:ascii="Arial" w:cs="Arial" w:eastAsia="Arial" w:hAnsi="Arial"/>
          <w:color w:val="333333"/>
          <w:sz w:val="22"/>
          <w:szCs w:val="22"/>
        </w:rPr>
        <w:t xml:space="preserve">Pupil voice is central to practice at Birchwood, though the approaches used look different from a mainstream setting. Given the range of communication needs across the school, voice is gathered through a variety of methods including Talking Mats, drawing and creative activities, supported conversations with a trusted adult, and for some older pupils, written or digital surveys.</w:t>
      </w:r>
    </w:p>
    <w:p>
      <w:pPr>
        <w:spacing w:after="100" w:before="80"/>
      </w:pPr>
      <w:r>
        <w:rPr>
          <w:rFonts w:ascii="Arial" w:cs="Arial" w:eastAsia="Arial" w:hAnsi="Arial"/>
          <w:color w:val="333333"/>
          <w:sz w:val="22"/>
          <w:szCs w:val="22"/>
        </w:rPr>
        <w:t xml:space="preserve">There is a pupil council with representation from each class, supported by a member of staff. It meets monthly and has contributed to decisions about the school environment, food, and timetabling. Pupils have been involved in reviewing the school's wellbeing approach and provided input into the current action plan.</w:t>
      </w:r>
    </w:p>
    <w:p>
      <w:pPr>
        <w:spacing w:after="100" w:before="80"/>
      </w:pPr>
      <w:r>
        <w:rPr>
          <w:rFonts w:ascii="Arial" w:cs="Arial" w:eastAsia="Arial" w:hAnsi="Arial"/>
          <w:color w:val="333333"/>
          <w:sz w:val="22"/>
          <w:szCs w:val="22"/>
        </w:rPr>
        <w:t xml:space="preserve">The school is developing a peer mentoring programme for older pupils, with training planned for this academic year. This is at an early stage and has not yet been formally evaluated.</w:t>
      </w:r>
    </w:p>
    <w:p>
      <w:pPr>
        <w:spacing w:after="100" w:before="80"/>
      </w:pPr>
      <w:r>
        <w:rPr>
          <w:rFonts w:ascii="Arial" w:cs="Arial" w:eastAsia="Arial" w:hAnsi="Arial"/>
          <w:color w:val="333333"/>
          <w:sz w:val="22"/>
          <w:szCs w:val="22"/>
        </w:rPr>
        <w:t xml:space="preserve">Showing pupils how their views have led to change is taken seriously. The school uses a 'You Said, We Did' board in each classroom and in the main entrance.</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Working with Parents, Families and Carers</w:t>
      </w:r>
    </w:p>
    <w:p>
      <w:pPr>
        <w:spacing w:after="100" w:before="80"/>
      </w:pPr>
      <w:r>
        <w:rPr>
          <w:rFonts w:ascii="Arial" w:cs="Arial" w:eastAsia="Arial" w:hAnsi="Arial"/>
          <w:color w:val="333333"/>
          <w:sz w:val="22"/>
          <w:szCs w:val="22"/>
        </w:rPr>
        <w:t xml:space="preserve">Family engagement is a significant strength of the school. The family support worker holds a caseload of families who need additional support and offers home visits, telephone support, and drop-in sessions at school. Many families of Birchwood pupils have had difficult experiences with statutory services, and building trust is recognised as a long-term process.</w:t>
      </w:r>
    </w:p>
    <w:p>
      <w:pPr>
        <w:spacing w:after="100" w:before="80"/>
      </w:pPr>
      <w:r>
        <w:rPr>
          <w:rFonts w:ascii="Arial" w:cs="Arial" w:eastAsia="Arial" w:hAnsi="Arial"/>
          <w:color w:val="333333"/>
          <w:sz w:val="22"/>
          <w:szCs w:val="22"/>
        </w:rPr>
        <w:t xml:space="preserve">The school holds a termly parent and carer information event on topics related to SEMH. Recent sessions have covered supporting emotional regulation at home, understanding PDA profiles, and navigating CAMHS referrals. These are well attended.</w:t>
      </w:r>
    </w:p>
    <w:p>
      <w:pPr>
        <w:spacing w:after="100" w:before="80"/>
      </w:pPr>
      <w:r>
        <w:rPr>
          <w:rFonts w:ascii="Arial" w:cs="Arial" w:eastAsia="Arial" w:hAnsi="Arial"/>
          <w:color w:val="333333"/>
          <w:sz w:val="22"/>
          <w:szCs w:val="22"/>
        </w:rPr>
        <w:t xml:space="preserve">Parents and carers have access to the school's mental health and wellbeing policy and the school development plan on the website. There is a dedicated 'Family Information' section which includes links to local and national support services.</w:t>
      </w:r>
    </w:p>
    <w:p>
      <w:pPr>
        <w:spacing w:after="100" w:before="80"/>
      </w:pPr>
      <w:r>
        <w:rPr>
          <w:rFonts w:ascii="Arial" w:cs="Arial" w:eastAsia="Arial" w:hAnsi="Arial"/>
          <w:color w:val="333333"/>
          <w:sz w:val="22"/>
          <w:szCs w:val="22"/>
        </w:rPr>
        <w:t xml:space="preserve">Communication with families is frequent and proactive. Most families receive at least a weekly phone call or message from their child's class team. The school uses a home-school communication book for all pupils to ensure continuity between school and home.</w:t>
      </w:r>
    </w:p>
    <w:p>
      <w:pPr>
        <w:spacing w:after="100" w:before="80"/>
      </w:pPr>
      <w:r>
        <w:rPr>
          <w:rFonts w:ascii="Arial" w:cs="Arial" w:eastAsia="Arial" w:hAnsi="Arial"/>
          <w:color w:val="333333"/>
          <w:sz w:val="22"/>
          <w:szCs w:val="22"/>
        </w:rPr>
        <w:t xml:space="preserve">A small number of families are hard to engage, often due to their own significant difficulties. These are monitored by the family support worker and escalated to the DSL where there are safeguarding concerns.</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Curriculum, Teaching and Learning</w:t>
      </w:r>
    </w:p>
    <w:p>
      <w:pPr>
        <w:spacing w:after="100" w:before="80"/>
      </w:pPr>
      <w:r>
        <w:rPr>
          <w:rFonts w:ascii="Arial" w:cs="Arial" w:eastAsia="Arial" w:hAnsi="Arial"/>
          <w:color w:val="333333"/>
          <w:sz w:val="22"/>
          <w:szCs w:val="22"/>
        </w:rPr>
        <w:t xml:space="preserve">Birchwood does not follow a standard curriculum model. Each pupil has an individualised learning plan aligned to their EHCP outcomes, which includes both academic and therapeutic goals. Mental health and emotional wellbeing are embedded as explicit goals for every pupil.</w:t>
      </w:r>
    </w:p>
    <w:p>
      <w:pPr>
        <w:spacing w:after="100" w:before="80"/>
      </w:pPr>
      <w:r>
        <w:rPr>
          <w:rFonts w:ascii="Arial" w:cs="Arial" w:eastAsia="Arial" w:hAnsi="Arial"/>
          <w:color w:val="333333"/>
          <w:sz w:val="22"/>
          <w:szCs w:val="22"/>
        </w:rPr>
        <w:t xml:space="preserve">PSHE is taught in small groups and is highly differentiated. Topics are selected based on the needs and readiness of the group. Staff delivering these sessions are supported by the therapeutic team to ensure content is appropriate and that any risks are managed carefully.</w:t>
      </w:r>
    </w:p>
    <w:p>
      <w:pPr>
        <w:spacing w:after="100" w:before="80"/>
      </w:pPr>
      <w:r>
        <w:rPr>
          <w:rFonts w:ascii="Arial" w:cs="Arial" w:eastAsia="Arial" w:hAnsi="Arial"/>
          <w:color w:val="333333"/>
          <w:sz w:val="22"/>
          <w:szCs w:val="22"/>
        </w:rPr>
        <w:t xml:space="preserve">All lessons are planned with emotional regulation in mind. Staff use a range of strategies — including movement breaks, visual supports, and co-regulation techniques — as a matter of routine. There is no separate 'mental health lesson' because mental health is the lens through which all teaching is approached.</w:t>
      </w:r>
    </w:p>
    <w:p>
      <w:pPr>
        <w:spacing w:after="100" w:before="80"/>
      </w:pPr>
      <w:r>
        <w:rPr>
          <w:rFonts w:ascii="Arial" w:cs="Arial" w:eastAsia="Arial" w:hAnsi="Arial"/>
          <w:color w:val="333333"/>
          <w:sz w:val="22"/>
          <w:szCs w:val="22"/>
        </w:rPr>
        <w:t xml:space="preserve">The school has a strong arts programme, including music, drama, and visual arts, which are used therapeutically as well as educationally. Staff delivering these subjects have received training in their therapeutic use.</w:t>
      </w:r>
    </w:p>
    <w:p>
      <w:pPr>
        <w:spacing w:after="100" w:before="80"/>
      </w:pPr>
      <w:r>
        <w:rPr>
          <w:rFonts w:ascii="Arial" w:cs="Arial" w:eastAsia="Arial" w:hAnsi="Arial"/>
          <w:color w:val="333333"/>
          <w:sz w:val="22"/>
          <w:szCs w:val="22"/>
        </w:rPr>
        <w:t xml:space="preserve">Assessment approaches have been adapted to be appropriate for the school's context. The school does not use standardised testing as a primary measure of progress; instead, progress is tracked against EHCP outcomes using a bespoke framework.</w:t>
      </w:r>
    </w:p>
    <w:p>
      <w:pPr>
        <w:spacing w:after="200" w:before="0"/>
      </w:pPr>
      <w:r>
        <w:t xml:space="preserve"/>
      </w:r>
    </w:p>
    <w:p>
      <w:pPr>
        <w:pStyle w:val="Heading1"/>
        <w:pBdr>
          <w:bottom w:val="single" w:color="008080" w:sz="6" w:space="6"/>
        </w:pBdr>
        <w:spacing w:after="160" w:before="400"/>
      </w:pPr>
      <w:r>
        <w:rPr>
          <w:rFonts w:ascii="Arial" w:cs="Arial" w:eastAsia="Arial" w:hAnsi="Arial"/>
          <w:b/>
          <w:bCs/>
          <w:color w:val="008080"/>
          <w:sz w:val="32"/>
          <w:szCs w:val="32"/>
        </w:rPr>
        <w:t xml:space="preserve">Additional Context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08080" w:sz="4"/>
              <w:left w:val="single" w:color="008080" w:sz="4"/>
              <w:bottom w:val="single" w:color="008080" w:sz="4"/>
              <w:right w:val="single" w:color="008080" w:sz="4"/>
            </w:tcBorders>
            <w:shd w:fill="E0F2F1" w:val="clear"/>
            <w:tcMar>
              <w:top w:type="dxa" w:w="160"/>
              <w:left w:type="dxa" w:w="240"/>
              <w:bottom w:type="dxa" w:w="160"/>
              <w:right w:type="dxa" w:w="240"/>
            </w:tcMar>
          </w:tcPr>
          <w:p>
            <w:pPr>
              <w:spacing w:after="60" w:before="0"/>
            </w:pPr>
            <w:r>
              <w:rPr>
                <w:rFonts w:ascii="Arial" w:cs="Arial" w:eastAsia="Arial" w:hAnsi="Arial"/>
                <w:color w:val="333333"/>
                <w:sz w:val="22"/>
                <w:szCs w:val="22"/>
              </w:rPr>
              <w:t xml:space="preserve">The following contextual details may be useful as you work through the Setting Audit.</w:t>
            </w:r>
          </w:p>
          <w:p>
            <w:pPr>
              <w:spacing w:after="60" w:before="60"/>
            </w:pPr>
            <w:r>
              <w:rPr>
                <w:rFonts w:ascii="Arial" w:cs="Arial" w:eastAsia="Arial" w:hAnsi="Arial"/>
                <w:color w:val="333333"/>
                <w:sz w:val="22"/>
                <w:szCs w:val="22"/>
              </w:rPr>
              <w:t xml:space="preserve">Birchwood draws pupils from a wide geographical area — some travel up to 45 minutes each way, which can affect their readiness to engage on arrival.</w:t>
            </w:r>
          </w:p>
          <w:p>
            <w:pPr>
              <w:spacing w:after="60" w:before="60"/>
            </w:pPr>
            <w:r>
              <w:rPr>
                <w:rFonts w:ascii="Arial" w:cs="Arial" w:eastAsia="Arial" w:hAnsi="Arial"/>
                <w:color w:val="333333"/>
                <w:sz w:val="22"/>
                <w:szCs w:val="22"/>
              </w:rPr>
              <w:t xml:space="preserve">Staff retention is a challenge. While the school has a strong culture, the emotional demands of the role lead to a higher-than-average turnover compared to mainstream schools. The school actively manages this through supervision, wellbeing support, and a strong induction programme.</w:t>
            </w:r>
          </w:p>
          <w:p>
            <w:pPr>
              <w:spacing w:after="60" w:before="60"/>
            </w:pPr>
            <w:r>
              <w:rPr>
                <w:rFonts w:ascii="Arial" w:cs="Arial" w:eastAsia="Arial" w:hAnsi="Arial"/>
                <w:color w:val="333333"/>
                <w:sz w:val="22"/>
                <w:szCs w:val="22"/>
              </w:rPr>
              <w:t xml:space="preserve">The SMHL role (you) is well established — the previous SMHL held the position for three years and handed over a comprehensive set of documentation. You have been in post for four months and are still developing your understanding of the school's systems.</w:t>
            </w:r>
          </w:p>
          <w:p>
            <w:pPr>
              <w:spacing w:after="60" w:before="60"/>
            </w:pPr>
            <w:r>
              <w:rPr>
                <w:rFonts w:ascii="Arial" w:cs="Arial" w:eastAsia="Arial" w:hAnsi="Arial"/>
                <w:color w:val="333333"/>
                <w:sz w:val="22"/>
                <w:szCs w:val="22"/>
              </w:rPr>
              <w:t xml:space="preserve">One area you have identified as needing attention is the transition planning for pupils moving to post-16 provision. Currently, mental health support during transition is not consistently planned, and some pupils have experienced a significant dip in wellbeing during this period.</w:t>
            </w:r>
          </w:p>
        </w:tc>
      </w:tr>
    </w:tbl>
    <w:p>
      <w:pPr>
        <w:spacing w:after="200" w:before="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08080"/>
      <w:sz w:val="32"/>
      <w:szCs w:val="32"/>
    </w:rPr>
  </w:style>
  <w:style w:type="paragraph" w:styleId="Heading2">
    <w:name w:val="Heading 2"/>
    <w:basedOn w:val="Normal"/>
    <w:next w:val="Normal"/>
    <w:qFormat/>
    <w:pPr>
      <w:spacing w:after="120" w:before="300"/>
      <w:outlineLvl w:val="1"/>
    </w:pPr>
    <w:rPr>
      <w:rFonts w:ascii="Arial" w:cs="Arial" w:eastAsia="Arial" w:hAnsi="Arial"/>
      <w:b/>
      <w:bCs/>
      <w:color w:val="00808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2026-04-21T15:00:43.591Z</dcterms:created>
  <dcterms:modified xsi:type="dcterms:W3CDTF">2026-04-21T15:00:43.591Z</dcterms:modified>
</cp:coreProperties>
</file>

<file path=docProps/custom.xml><?xml version="1.0" encoding="utf-8"?>
<Properties xmlns="http://schemas.openxmlformats.org/officeDocument/2006/custom-properties" xmlns:vt="http://schemas.openxmlformats.org/officeDocument/2006/docPropsVTypes"/>
</file>